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6F" w:rsidRPr="001C0F78" w:rsidRDefault="001C0F78" w:rsidP="00A87FC2">
      <w:pPr>
        <w:rPr>
          <w:b/>
        </w:rPr>
      </w:pPr>
      <w:r>
        <w:rPr>
          <w:noProof/>
          <w:sz w:val="22"/>
          <w:szCs w:val="22"/>
        </w:rPr>
        <w:drawing>
          <wp:anchor distT="0" distB="0" distL="114300" distR="114300" simplePos="0" relativeHeight="251660288" behindDoc="0" locked="0" layoutInCell="1" allowOverlap="1">
            <wp:simplePos x="0" y="0"/>
            <wp:positionH relativeFrom="margin">
              <wp:posOffset>5126990</wp:posOffset>
            </wp:positionH>
            <wp:positionV relativeFrom="margin">
              <wp:posOffset>-508635</wp:posOffset>
            </wp:positionV>
            <wp:extent cx="1177925" cy="998855"/>
            <wp:effectExtent l="19050" t="0" r="3175" b="0"/>
            <wp:wrapSquare wrapText="bothSides"/>
            <wp:docPr id="2" name="Afbeelding 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pic:cNvPicPr>
                      <a:picLocks noChangeAspect="1" noChangeArrowheads="1"/>
                    </pic:cNvPicPr>
                  </pic:nvPicPr>
                  <pic:blipFill>
                    <a:blip r:embed="rId6"/>
                    <a:srcRect l="12796" t="11398" r="13835" b="5823"/>
                    <a:stretch>
                      <a:fillRect/>
                    </a:stretch>
                  </pic:blipFill>
                  <pic:spPr bwMode="auto">
                    <a:xfrm>
                      <a:off x="0" y="0"/>
                      <a:ext cx="1177925" cy="998855"/>
                    </a:xfrm>
                    <a:prstGeom prst="rect">
                      <a:avLst/>
                    </a:prstGeom>
                    <a:noFill/>
                    <a:ln w="9525">
                      <a:noFill/>
                      <a:miter lim="800000"/>
                      <a:headEnd/>
                      <a:tailEnd/>
                    </a:ln>
                  </pic:spPr>
                </pic:pic>
              </a:graphicData>
            </a:graphic>
          </wp:anchor>
        </w:drawing>
      </w:r>
      <w:r w:rsidR="004107E7">
        <w:rPr>
          <w:b/>
        </w:rPr>
        <w:t xml:space="preserve">HIGH RESOLUTION DYNAMIC </w:t>
      </w:r>
      <w:r w:rsidR="008F206F" w:rsidRPr="001C0F78">
        <w:rPr>
          <w:b/>
        </w:rPr>
        <w:t>ULTRASOUND SCANNING DIAGNOSIS IN ACUTE KNEE INJURY</w:t>
      </w:r>
    </w:p>
    <w:p w:rsidR="002D15D1" w:rsidRPr="001C0F78" w:rsidRDefault="002D15D1" w:rsidP="002D15D1">
      <w:pPr>
        <w:rPr>
          <w:color w:val="1F497D"/>
          <w:sz w:val="16"/>
          <w:szCs w:val="16"/>
        </w:rPr>
      </w:pPr>
    </w:p>
    <w:p w:rsidR="002D15D1" w:rsidRPr="001C0F78" w:rsidRDefault="002D15D1" w:rsidP="00605CDE">
      <w:pPr>
        <w:rPr>
          <w:i/>
          <w:sz w:val="16"/>
          <w:szCs w:val="16"/>
        </w:rPr>
        <w:sectPr w:rsidR="002D15D1" w:rsidRPr="001C0F78" w:rsidSect="005A5687">
          <w:endnotePr>
            <w:numFmt w:val="decimal"/>
          </w:endnotePr>
          <w:pgSz w:w="11906" w:h="16838"/>
          <w:pgMar w:top="1135" w:right="1417" w:bottom="1276" w:left="1417" w:header="708" w:footer="708" w:gutter="0"/>
          <w:cols w:space="708"/>
          <w:docGrid w:linePitch="360"/>
        </w:sectPr>
      </w:pPr>
    </w:p>
    <w:p w:rsidR="00605CDE" w:rsidRPr="005A5687" w:rsidRDefault="00605CDE" w:rsidP="00605CDE">
      <w:pPr>
        <w:rPr>
          <w:i/>
          <w:sz w:val="18"/>
          <w:szCs w:val="18"/>
          <w:lang w:val="nl-NL"/>
        </w:rPr>
      </w:pPr>
      <w:r w:rsidRPr="005A5687">
        <w:rPr>
          <w:i/>
          <w:sz w:val="18"/>
          <w:szCs w:val="18"/>
          <w:lang w:val="nl-NL"/>
        </w:rPr>
        <w:lastRenderedPageBreak/>
        <w:t xml:space="preserve">Burt Klos , MD </w:t>
      </w:r>
      <w:proofErr w:type="spellStart"/>
      <w:r w:rsidRPr="005A5687">
        <w:rPr>
          <w:i/>
          <w:sz w:val="18"/>
          <w:szCs w:val="18"/>
          <w:lang w:val="nl-NL"/>
        </w:rPr>
        <w:t>Orthopedic</w:t>
      </w:r>
      <w:proofErr w:type="spellEnd"/>
      <w:r w:rsidRPr="005A5687">
        <w:rPr>
          <w:i/>
          <w:sz w:val="18"/>
          <w:szCs w:val="18"/>
          <w:lang w:val="nl-NL"/>
        </w:rPr>
        <w:t xml:space="preserve"> </w:t>
      </w:r>
      <w:proofErr w:type="spellStart"/>
      <w:r w:rsidRPr="005A5687">
        <w:rPr>
          <w:i/>
          <w:sz w:val="18"/>
          <w:szCs w:val="18"/>
          <w:lang w:val="nl-NL"/>
        </w:rPr>
        <w:t>Surgeon</w:t>
      </w:r>
      <w:proofErr w:type="spellEnd"/>
    </w:p>
    <w:p w:rsidR="008F206F" w:rsidRPr="005A5687" w:rsidRDefault="00384608" w:rsidP="00605CDE">
      <w:pPr>
        <w:rPr>
          <w:i/>
          <w:sz w:val="18"/>
          <w:szCs w:val="18"/>
          <w:lang w:val="nl-NL"/>
        </w:rPr>
      </w:pPr>
      <w:r w:rsidRPr="005A5687">
        <w:rPr>
          <w:i/>
          <w:sz w:val="18"/>
          <w:szCs w:val="18"/>
          <w:lang w:val="nl-NL"/>
        </w:rPr>
        <w:t xml:space="preserve">Stephan Konijnenberg , MD </w:t>
      </w:r>
      <w:proofErr w:type="spellStart"/>
      <w:r w:rsidRPr="005A5687">
        <w:rPr>
          <w:i/>
          <w:sz w:val="18"/>
          <w:szCs w:val="18"/>
          <w:lang w:val="nl-NL"/>
        </w:rPr>
        <w:t>Ultrasonographer</w:t>
      </w:r>
      <w:proofErr w:type="spellEnd"/>
    </w:p>
    <w:p w:rsidR="002D15D1" w:rsidRPr="001C0F78" w:rsidRDefault="002D15D1" w:rsidP="002D15D1">
      <w:pPr>
        <w:rPr>
          <w:i/>
          <w:sz w:val="20"/>
          <w:szCs w:val="20"/>
          <w:lang w:val="nl-NL"/>
        </w:rPr>
      </w:pPr>
    </w:p>
    <w:p w:rsidR="002D15D1" w:rsidRPr="001C0F78" w:rsidRDefault="002D15D1" w:rsidP="00A87FC2">
      <w:pPr>
        <w:rPr>
          <w:sz w:val="22"/>
          <w:szCs w:val="22"/>
          <w:lang w:val="nl-NL"/>
        </w:rPr>
        <w:sectPr w:rsidR="002D15D1" w:rsidRPr="001C0F78" w:rsidSect="005A5687">
          <w:endnotePr>
            <w:numFmt w:val="decimal"/>
          </w:endnotePr>
          <w:type w:val="continuous"/>
          <w:pgSz w:w="11906" w:h="16838"/>
          <w:pgMar w:top="1134" w:right="1417" w:bottom="1417" w:left="1417" w:header="708" w:footer="708" w:gutter="0"/>
          <w:cols w:num="2" w:space="708"/>
          <w:docGrid w:linePitch="360"/>
        </w:sectPr>
      </w:pPr>
    </w:p>
    <w:p w:rsidR="00605CDE" w:rsidRPr="001C0F78" w:rsidRDefault="00605CDE" w:rsidP="00A87FC2">
      <w:pPr>
        <w:rPr>
          <w:sz w:val="22"/>
          <w:szCs w:val="22"/>
          <w:lang w:val="nl-NL"/>
        </w:rPr>
      </w:pPr>
    </w:p>
    <w:p w:rsidR="00605CDE" w:rsidRPr="005A5687" w:rsidRDefault="008F206F" w:rsidP="00A87FC2">
      <w:pPr>
        <w:rPr>
          <w:b/>
          <w:sz w:val="20"/>
          <w:szCs w:val="20"/>
        </w:rPr>
      </w:pPr>
      <w:r w:rsidRPr="005A5687">
        <w:rPr>
          <w:b/>
          <w:sz w:val="20"/>
          <w:szCs w:val="20"/>
        </w:rPr>
        <w:t xml:space="preserve">HYPOTHESIS: </w:t>
      </w:r>
    </w:p>
    <w:p w:rsidR="008F206F" w:rsidRPr="005A5687" w:rsidRDefault="008F206F" w:rsidP="00A87FC2">
      <w:pPr>
        <w:rPr>
          <w:sz w:val="20"/>
          <w:szCs w:val="20"/>
        </w:rPr>
      </w:pPr>
      <w:proofErr w:type="spellStart"/>
      <w:r w:rsidRPr="005A5687">
        <w:rPr>
          <w:sz w:val="20"/>
          <w:szCs w:val="20"/>
        </w:rPr>
        <w:t>Muscoloskeletal</w:t>
      </w:r>
      <w:proofErr w:type="spellEnd"/>
      <w:r w:rsidRPr="005A5687">
        <w:rPr>
          <w:sz w:val="20"/>
          <w:szCs w:val="20"/>
        </w:rPr>
        <w:t xml:space="preserve"> </w:t>
      </w:r>
      <w:proofErr w:type="spellStart"/>
      <w:r w:rsidRPr="005A5687">
        <w:rPr>
          <w:sz w:val="20"/>
          <w:szCs w:val="20"/>
        </w:rPr>
        <w:t>ultrasonography</w:t>
      </w:r>
      <w:proofErr w:type="spellEnd"/>
      <w:r w:rsidRPr="005A5687">
        <w:rPr>
          <w:sz w:val="20"/>
          <w:szCs w:val="20"/>
        </w:rPr>
        <w:t xml:space="preserve"> is a sufficient tool for preoperative decision making in acute knee injury.</w:t>
      </w:r>
    </w:p>
    <w:p w:rsidR="008F206F" w:rsidRPr="005A5687" w:rsidRDefault="008F206F" w:rsidP="00A87FC2">
      <w:pPr>
        <w:rPr>
          <w:sz w:val="20"/>
          <w:szCs w:val="20"/>
        </w:rPr>
      </w:pPr>
    </w:p>
    <w:p w:rsidR="008F206F" w:rsidRPr="005A5687" w:rsidRDefault="008F206F" w:rsidP="00A87FC2">
      <w:pPr>
        <w:rPr>
          <w:b/>
          <w:sz w:val="20"/>
          <w:szCs w:val="20"/>
        </w:rPr>
      </w:pPr>
      <w:r w:rsidRPr="005A5687">
        <w:rPr>
          <w:b/>
          <w:sz w:val="20"/>
          <w:szCs w:val="20"/>
        </w:rPr>
        <w:t>INTRODUCTION</w:t>
      </w:r>
      <w:r w:rsidR="00605CDE" w:rsidRPr="005A5687">
        <w:rPr>
          <w:b/>
          <w:sz w:val="20"/>
          <w:szCs w:val="20"/>
        </w:rPr>
        <w:t>:</w:t>
      </w:r>
      <w:r w:rsidRPr="005A5687">
        <w:rPr>
          <w:b/>
          <w:sz w:val="20"/>
          <w:szCs w:val="20"/>
        </w:rPr>
        <w:t xml:space="preserve"> </w:t>
      </w:r>
    </w:p>
    <w:p w:rsidR="008F206F" w:rsidRPr="005A5687" w:rsidRDefault="008F206F" w:rsidP="00FA104C">
      <w:pPr>
        <w:rPr>
          <w:sz w:val="20"/>
          <w:szCs w:val="20"/>
        </w:rPr>
      </w:pPr>
      <w:r w:rsidRPr="005A5687">
        <w:rPr>
          <w:sz w:val="20"/>
          <w:szCs w:val="20"/>
        </w:rPr>
        <w:t>Diagnosis in an acute swollen knee after trauma is usually performed by x-ray and or MRI</w:t>
      </w:r>
      <w:r w:rsidR="005A5687">
        <w:rPr>
          <w:sz w:val="20"/>
          <w:szCs w:val="20"/>
        </w:rPr>
        <w:t xml:space="preserve">. </w:t>
      </w:r>
      <w:r w:rsidRPr="005A5687">
        <w:rPr>
          <w:sz w:val="20"/>
          <w:szCs w:val="20"/>
        </w:rPr>
        <w:t>We conducted a study using ultrasound for additional imaging after plain X ray in acute knee injuries. Because of the low-cost and availability of US we started to use ultrasound in acute knee injury diagnosis.</w:t>
      </w:r>
    </w:p>
    <w:p w:rsidR="008F206F" w:rsidRPr="005A5687" w:rsidRDefault="008F206F" w:rsidP="00A87FC2">
      <w:pPr>
        <w:rPr>
          <w:sz w:val="20"/>
          <w:szCs w:val="20"/>
        </w:rPr>
      </w:pPr>
    </w:p>
    <w:p w:rsidR="008F206F" w:rsidRPr="005A5687" w:rsidRDefault="008F206F" w:rsidP="00A87FC2">
      <w:pPr>
        <w:rPr>
          <w:b/>
          <w:sz w:val="20"/>
          <w:szCs w:val="20"/>
        </w:rPr>
      </w:pPr>
      <w:r w:rsidRPr="005A5687">
        <w:rPr>
          <w:b/>
          <w:sz w:val="20"/>
          <w:szCs w:val="20"/>
        </w:rPr>
        <w:t>MATERIAL EN METHODS</w:t>
      </w:r>
      <w:r w:rsidR="00605CDE" w:rsidRPr="005A5687">
        <w:rPr>
          <w:b/>
          <w:sz w:val="20"/>
          <w:szCs w:val="20"/>
        </w:rPr>
        <w:t>:</w:t>
      </w:r>
    </w:p>
    <w:p w:rsidR="008F206F" w:rsidRPr="005A5687" w:rsidRDefault="008F206F" w:rsidP="00A87FC2">
      <w:pPr>
        <w:rPr>
          <w:sz w:val="20"/>
          <w:szCs w:val="20"/>
        </w:rPr>
      </w:pPr>
      <w:r w:rsidRPr="005A5687">
        <w:rPr>
          <w:sz w:val="20"/>
          <w:szCs w:val="20"/>
        </w:rPr>
        <w:t>In a two year period (2010-11) two orthopedic surgeons identified 55 patients with a acute knee injury with a mean of 2,9 weeks after trauma. All patients had a x-ray and US after clinical investigation.</w:t>
      </w:r>
      <w:r w:rsidR="005A5687">
        <w:rPr>
          <w:sz w:val="20"/>
          <w:szCs w:val="20"/>
        </w:rPr>
        <w:t xml:space="preserve"> </w:t>
      </w:r>
    </w:p>
    <w:p w:rsidR="008F206F" w:rsidRPr="005A5687" w:rsidRDefault="008F206F" w:rsidP="00A87FC2">
      <w:pPr>
        <w:rPr>
          <w:sz w:val="20"/>
          <w:szCs w:val="20"/>
        </w:rPr>
      </w:pPr>
      <w:r w:rsidRPr="005A5687">
        <w:rPr>
          <w:sz w:val="20"/>
          <w:szCs w:val="20"/>
        </w:rPr>
        <w:t xml:space="preserve">Patients with isolated MCL injuries, muscle injuries or </w:t>
      </w:r>
      <w:proofErr w:type="spellStart"/>
      <w:r w:rsidRPr="005A5687">
        <w:rPr>
          <w:sz w:val="20"/>
          <w:szCs w:val="20"/>
        </w:rPr>
        <w:t>tendinopathy</w:t>
      </w:r>
      <w:proofErr w:type="spellEnd"/>
      <w:r w:rsidRPr="005A5687">
        <w:rPr>
          <w:sz w:val="20"/>
          <w:szCs w:val="20"/>
        </w:rPr>
        <w:t xml:space="preserve"> were treated conservatively . Patients with a mechanical extension loss or with US findings suggesting </w:t>
      </w:r>
      <w:proofErr w:type="spellStart"/>
      <w:r w:rsidRPr="005A5687">
        <w:rPr>
          <w:sz w:val="20"/>
          <w:szCs w:val="20"/>
        </w:rPr>
        <w:t>meniscal</w:t>
      </w:r>
      <w:proofErr w:type="spellEnd"/>
      <w:r w:rsidRPr="005A5687">
        <w:rPr>
          <w:sz w:val="20"/>
          <w:szCs w:val="20"/>
        </w:rPr>
        <w:t xml:space="preserve"> tears and loose bodies were treated with arthroscopy.</w:t>
      </w:r>
    </w:p>
    <w:p w:rsidR="008F206F" w:rsidRPr="005A5687" w:rsidRDefault="008F206F" w:rsidP="00A87FC2">
      <w:pPr>
        <w:rPr>
          <w:b/>
          <w:sz w:val="20"/>
          <w:szCs w:val="20"/>
        </w:rPr>
      </w:pPr>
    </w:p>
    <w:p w:rsidR="008F206F" w:rsidRPr="005A5687" w:rsidRDefault="008F206F" w:rsidP="00A87FC2">
      <w:pPr>
        <w:rPr>
          <w:b/>
          <w:sz w:val="20"/>
          <w:szCs w:val="20"/>
          <w:u w:val="single"/>
        </w:rPr>
      </w:pPr>
      <w:bookmarkStart w:id="0" w:name="_GoBack"/>
      <w:bookmarkEnd w:id="0"/>
      <w:r w:rsidRPr="005A5687">
        <w:rPr>
          <w:b/>
          <w:sz w:val="20"/>
          <w:szCs w:val="20"/>
        </w:rPr>
        <w:t>RESULTS</w:t>
      </w:r>
      <w:r w:rsidR="00605CDE" w:rsidRPr="005A5687">
        <w:rPr>
          <w:b/>
          <w:sz w:val="20"/>
          <w:szCs w:val="20"/>
        </w:rPr>
        <w:t>:</w:t>
      </w:r>
    </w:p>
    <w:p w:rsidR="008F206F" w:rsidRPr="005A5687" w:rsidRDefault="008F206F" w:rsidP="00A87FC2">
      <w:pPr>
        <w:rPr>
          <w:sz w:val="20"/>
          <w:szCs w:val="20"/>
        </w:rPr>
      </w:pPr>
      <w:r w:rsidRPr="005A5687">
        <w:rPr>
          <w:sz w:val="20"/>
          <w:szCs w:val="20"/>
        </w:rPr>
        <w:t xml:space="preserve">55 patients were included . </w:t>
      </w:r>
    </w:p>
    <w:p w:rsidR="008F206F" w:rsidRPr="005A5687" w:rsidRDefault="008F206F" w:rsidP="008B585C">
      <w:pPr>
        <w:rPr>
          <w:sz w:val="20"/>
          <w:szCs w:val="20"/>
        </w:rPr>
      </w:pPr>
      <w:r w:rsidRPr="005A5687">
        <w:rPr>
          <w:sz w:val="20"/>
          <w:szCs w:val="20"/>
        </w:rPr>
        <w:t>25 patients were treated primary conservatively.</w:t>
      </w:r>
    </w:p>
    <w:p w:rsidR="008F206F" w:rsidRPr="005A5687" w:rsidRDefault="008F206F" w:rsidP="008B585C">
      <w:pPr>
        <w:rPr>
          <w:sz w:val="20"/>
          <w:szCs w:val="20"/>
        </w:rPr>
      </w:pPr>
      <w:r w:rsidRPr="005A5687">
        <w:rPr>
          <w:sz w:val="20"/>
          <w:szCs w:val="20"/>
        </w:rPr>
        <w:t>24 patients had no subsequent problems after a mean 11 months follow-up.</w:t>
      </w:r>
    </w:p>
    <w:p w:rsidR="008F206F" w:rsidRPr="005A5687" w:rsidRDefault="008F206F" w:rsidP="008B585C">
      <w:pPr>
        <w:rPr>
          <w:sz w:val="20"/>
          <w:szCs w:val="20"/>
        </w:rPr>
      </w:pPr>
      <w:r w:rsidRPr="005A5687">
        <w:rPr>
          <w:sz w:val="20"/>
          <w:szCs w:val="20"/>
        </w:rPr>
        <w:t xml:space="preserve">1 patient underwent arthroscopy, because of persistent pain. </w:t>
      </w:r>
    </w:p>
    <w:p w:rsidR="008F206F" w:rsidRPr="005A5687" w:rsidRDefault="008F206F" w:rsidP="00A87FC2">
      <w:pPr>
        <w:rPr>
          <w:sz w:val="20"/>
          <w:szCs w:val="20"/>
        </w:rPr>
      </w:pPr>
      <w:r w:rsidRPr="005A5687">
        <w:rPr>
          <w:sz w:val="20"/>
          <w:szCs w:val="20"/>
        </w:rPr>
        <w:t>In 30 patients arthroscopy was performed .</w:t>
      </w:r>
    </w:p>
    <w:p w:rsidR="008F206F" w:rsidRPr="005A5687" w:rsidRDefault="008F206F" w:rsidP="00A87FC2">
      <w:pPr>
        <w:rPr>
          <w:sz w:val="20"/>
          <w:szCs w:val="20"/>
        </w:rPr>
      </w:pPr>
      <w:r w:rsidRPr="005A5687">
        <w:rPr>
          <w:sz w:val="20"/>
          <w:szCs w:val="20"/>
        </w:rPr>
        <w:t xml:space="preserve">In 93%  the US diagnosis was confirmed and in 7 % a solitary anterior </w:t>
      </w:r>
      <w:proofErr w:type="spellStart"/>
      <w:r w:rsidRPr="005A5687">
        <w:rPr>
          <w:sz w:val="20"/>
          <w:szCs w:val="20"/>
        </w:rPr>
        <w:t>cruciate</w:t>
      </w:r>
      <w:proofErr w:type="spellEnd"/>
      <w:r w:rsidRPr="005A5687">
        <w:rPr>
          <w:sz w:val="20"/>
          <w:szCs w:val="20"/>
        </w:rPr>
        <w:t xml:space="preserve"> ligament injury was found without </w:t>
      </w:r>
      <w:proofErr w:type="spellStart"/>
      <w:r w:rsidRPr="005A5687">
        <w:rPr>
          <w:sz w:val="20"/>
          <w:szCs w:val="20"/>
        </w:rPr>
        <w:t>meniscal</w:t>
      </w:r>
      <w:proofErr w:type="spellEnd"/>
      <w:r w:rsidRPr="005A5687">
        <w:rPr>
          <w:sz w:val="20"/>
          <w:szCs w:val="20"/>
        </w:rPr>
        <w:t xml:space="preserve"> damage.</w:t>
      </w:r>
    </w:p>
    <w:p w:rsidR="008F206F" w:rsidRPr="005A5687" w:rsidRDefault="008F206F" w:rsidP="00A87FC2">
      <w:pPr>
        <w:rPr>
          <w:sz w:val="20"/>
          <w:szCs w:val="20"/>
        </w:rPr>
      </w:pPr>
    </w:p>
    <w:p w:rsidR="008F206F" w:rsidRPr="005A5687" w:rsidRDefault="008F206F" w:rsidP="00A87FC2">
      <w:pPr>
        <w:rPr>
          <w:sz w:val="20"/>
          <w:szCs w:val="20"/>
        </w:rPr>
      </w:pPr>
      <w:r w:rsidRPr="005A5687">
        <w:rPr>
          <w:sz w:val="20"/>
          <w:szCs w:val="20"/>
        </w:rPr>
        <w:t>Table 1  pre operative US findings vs. arthroscopy findings in acute knee injury.</w:t>
      </w:r>
    </w:p>
    <w:tbl>
      <w:tblPr>
        <w:tblW w:w="0" w:type="auto"/>
        <w:tblBorders>
          <w:top w:val="single" w:sz="8" w:space="0" w:color="000000"/>
          <w:bottom w:val="single" w:sz="8" w:space="0" w:color="000000"/>
        </w:tblBorders>
        <w:tblLook w:val="00A0"/>
      </w:tblPr>
      <w:tblGrid>
        <w:gridCol w:w="2303"/>
        <w:gridCol w:w="2303"/>
        <w:gridCol w:w="2303"/>
        <w:gridCol w:w="2303"/>
      </w:tblGrid>
      <w:tr w:rsidR="008F206F" w:rsidRPr="005A5687" w:rsidTr="006D5210">
        <w:tc>
          <w:tcPr>
            <w:tcW w:w="2303" w:type="dxa"/>
            <w:tcBorders>
              <w:top w:val="single" w:sz="8" w:space="0" w:color="000000"/>
              <w:left w:val="nil"/>
              <w:bottom w:val="single" w:sz="8" w:space="0" w:color="000000"/>
              <w:right w:val="nil"/>
            </w:tcBorders>
          </w:tcPr>
          <w:p w:rsidR="008F206F" w:rsidRPr="005A5687" w:rsidRDefault="008F206F" w:rsidP="00AC132F">
            <w:pPr>
              <w:pStyle w:val="Geenafstand"/>
              <w:rPr>
                <w:rFonts w:ascii="Times New Roman" w:hAnsi="Times New Roman"/>
                <w:b/>
                <w:bCs/>
                <w:sz w:val="20"/>
                <w:szCs w:val="20"/>
                <w:lang w:val="en-US"/>
              </w:rPr>
            </w:pPr>
            <w:r w:rsidRPr="005A5687">
              <w:rPr>
                <w:rFonts w:ascii="Times New Roman" w:hAnsi="Times New Roman"/>
                <w:b/>
                <w:bCs/>
                <w:sz w:val="20"/>
                <w:szCs w:val="20"/>
                <w:lang w:val="en-US"/>
              </w:rPr>
              <w:t>Table 1</w:t>
            </w:r>
          </w:p>
        </w:tc>
        <w:tc>
          <w:tcPr>
            <w:tcW w:w="2303" w:type="dxa"/>
            <w:tcBorders>
              <w:top w:val="single" w:sz="8" w:space="0" w:color="000000"/>
              <w:left w:val="nil"/>
              <w:bottom w:val="single" w:sz="8" w:space="0" w:color="000000"/>
              <w:right w:val="nil"/>
            </w:tcBorders>
          </w:tcPr>
          <w:p w:rsidR="008F206F" w:rsidRPr="005A5687" w:rsidRDefault="008F206F" w:rsidP="002F3614">
            <w:pPr>
              <w:pStyle w:val="Geenafstand"/>
              <w:rPr>
                <w:rFonts w:ascii="Times New Roman" w:hAnsi="Times New Roman"/>
                <w:b/>
                <w:bCs/>
                <w:sz w:val="20"/>
                <w:szCs w:val="20"/>
              </w:rPr>
            </w:pPr>
            <w:proofErr w:type="spellStart"/>
            <w:r w:rsidRPr="005A5687">
              <w:rPr>
                <w:rFonts w:ascii="Times New Roman" w:hAnsi="Times New Roman"/>
                <w:b/>
                <w:bCs/>
                <w:sz w:val="20"/>
                <w:szCs w:val="20"/>
              </w:rPr>
              <w:t>Scopy</w:t>
            </w:r>
            <w:proofErr w:type="spellEnd"/>
            <w:r w:rsidRPr="005A5687">
              <w:rPr>
                <w:rFonts w:ascii="Times New Roman" w:hAnsi="Times New Roman"/>
                <w:b/>
                <w:bCs/>
                <w:sz w:val="20"/>
                <w:szCs w:val="20"/>
              </w:rPr>
              <w:t xml:space="preserve"> pos.</w:t>
            </w:r>
          </w:p>
        </w:tc>
        <w:tc>
          <w:tcPr>
            <w:tcW w:w="2303" w:type="dxa"/>
            <w:tcBorders>
              <w:top w:val="single" w:sz="8" w:space="0" w:color="000000"/>
              <w:left w:val="nil"/>
              <w:bottom w:val="single" w:sz="8" w:space="0" w:color="000000"/>
              <w:right w:val="nil"/>
            </w:tcBorders>
          </w:tcPr>
          <w:p w:rsidR="008F206F" w:rsidRPr="005A5687" w:rsidRDefault="008F206F" w:rsidP="002F3614">
            <w:pPr>
              <w:pStyle w:val="Geenafstand"/>
              <w:rPr>
                <w:rFonts w:ascii="Times New Roman" w:hAnsi="Times New Roman"/>
                <w:b/>
                <w:bCs/>
                <w:sz w:val="20"/>
                <w:szCs w:val="20"/>
              </w:rPr>
            </w:pPr>
            <w:proofErr w:type="spellStart"/>
            <w:r w:rsidRPr="005A5687">
              <w:rPr>
                <w:rFonts w:ascii="Times New Roman" w:hAnsi="Times New Roman"/>
                <w:b/>
                <w:bCs/>
                <w:sz w:val="20"/>
                <w:szCs w:val="20"/>
              </w:rPr>
              <w:t>Scopy</w:t>
            </w:r>
            <w:proofErr w:type="spellEnd"/>
            <w:r w:rsidRPr="005A5687">
              <w:rPr>
                <w:rFonts w:ascii="Times New Roman" w:hAnsi="Times New Roman"/>
                <w:b/>
                <w:bCs/>
                <w:sz w:val="20"/>
                <w:szCs w:val="20"/>
              </w:rPr>
              <w:t xml:space="preserve"> neg.</w:t>
            </w:r>
          </w:p>
        </w:tc>
        <w:tc>
          <w:tcPr>
            <w:tcW w:w="2303" w:type="dxa"/>
            <w:tcBorders>
              <w:top w:val="single" w:sz="8" w:space="0" w:color="000000"/>
              <w:left w:val="nil"/>
              <w:bottom w:val="single" w:sz="8" w:space="0" w:color="000000"/>
              <w:right w:val="nil"/>
            </w:tcBorders>
          </w:tcPr>
          <w:p w:rsidR="008F206F" w:rsidRPr="005A5687" w:rsidRDefault="008F206F" w:rsidP="00AC132F">
            <w:pPr>
              <w:pStyle w:val="Geenafstand"/>
              <w:rPr>
                <w:rFonts w:ascii="Times New Roman" w:hAnsi="Times New Roman"/>
                <w:b/>
                <w:bCs/>
                <w:sz w:val="20"/>
                <w:szCs w:val="20"/>
              </w:rPr>
            </w:pPr>
            <w:r w:rsidRPr="005A5687">
              <w:rPr>
                <w:rFonts w:ascii="Times New Roman" w:hAnsi="Times New Roman"/>
                <w:b/>
                <w:bCs/>
                <w:sz w:val="20"/>
                <w:szCs w:val="20"/>
              </w:rPr>
              <w:t>totaal</w:t>
            </w:r>
          </w:p>
        </w:tc>
      </w:tr>
      <w:tr w:rsidR="008F206F" w:rsidRPr="005A5687" w:rsidTr="006D5210">
        <w:tc>
          <w:tcPr>
            <w:tcW w:w="2303" w:type="dxa"/>
            <w:tcBorders>
              <w:left w:val="nil"/>
              <w:right w:val="nil"/>
            </w:tcBorders>
            <w:shd w:val="clear" w:color="auto" w:fill="C0C0C0"/>
          </w:tcPr>
          <w:p w:rsidR="008F206F" w:rsidRPr="005A5687" w:rsidRDefault="008F206F" w:rsidP="002F3614">
            <w:pPr>
              <w:pStyle w:val="Geenafstand"/>
              <w:rPr>
                <w:rFonts w:ascii="Times New Roman" w:hAnsi="Times New Roman"/>
                <w:b/>
                <w:bCs/>
                <w:sz w:val="20"/>
                <w:szCs w:val="20"/>
              </w:rPr>
            </w:pPr>
            <w:r w:rsidRPr="005A5687">
              <w:rPr>
                <w:rFonts w:ascii="Times New Roman" w:hAnsi="Times New Roman"/>
                <w:b/>
                <w:bCs/>
                <w:sz w:val="20"/>
                <w:szCs w:val="20"/>
              </w:rPr>
              <w:t>US pos.</w:t>
            </w:r>
          </w:p>
        </w:tc>
        <w:tc>
          <w:tcPr>
            <w:tcW w:w="2303" w:type="dxa"/>
            <w:tcBorders>
              <w:left w:val="nil"/>
              <w:right w:val="nil"/>
            </w:tcBorders>
            <w:shd w:val="clear" w:color="auto" w:fill="C0C0C0"/>
          </w:tcPr>
          <w:p w:rsidR="008F206F" w:rsidRPr="005A5687" w:rsidRDefault="008F206F" w:rsidP="002F3614">
            <w:pPr>
              <w:pStyle w:val="Geenafstand"/>
              <w:rPr>
                <w:rFonts w:ascii="Times New Roman" w:hAnsi="Times New Roman"/>
                <w:sz w:val="20"/>
                <w:szCs w:val="20"/>
              </w:rPr>
            </w:pPr>
            <w:r w:rsidRPr="005A5687">
              <w:rPr>
                <w:rFonts w:ascii="Times New Roman" w:hAnsi="Times New Roman"/>
                <w:sz w:val="20"/>
                <w:szCs w:val="20"/>
              </w:rPr>
              <w:t xml:space="preserve">28 </w:t>
            </w:r>
          </w:p>
        </w:tc>
        <w:tc>
          <w:tcPr>
            <w:tcW w:w="2303" w:type="dxa"/>
            <w:tcBorders>
              <w:left w:val="nil"/>
              <w:right w:val="nil"/>
            </w:tcBorders>
            <w:shd w:val="clear" w:color="auto" w:fill="C0C0C0"/>
          </w:tcPr>
          <w:p w:rsidR="008F206F" w:rsidRPr="005A5687" w:rsidRDefault="008F206F" w:rsidP="002F3614">
            <w:pPr>
              <w:pStyle w:val="Geenafstand"/>
              <w:rPr>
                <w:rFonts w:ascii="Times New Roman" w:hAnsi="Times New Roman"/>
                <w:sz w:val="20"/>
                <w:szCs w:val="20"/>
              </w:rPr>
            </w:pPr>
            <w:r w:rsidRPr="005A5687">
              <w:rPr>
                <w:rFonts w:ascii="Times New Roman" w:hAnsi="Times New Roman"/>
                <w:sz w:val="20"/>
                <w:szCs w:val="20"/>
              </w:rPr>
              <w:t xml:space="preserve">2 </w:t>
            </w:r>
          </w:p>
        </w:tc>
        <w:tc>
          <w:tcPr>
            <w:tcW w:w="2303" w:type="dxa"/>
            <w:tcBorders>
              <w:left w:val="nil"/>
              <w:right w:val="nil"/>
            </w:tcBorders>
            <w:shd w:val="clear" w:color="auto" w:fill="C0C0C0"/>
          </w:tcPr>
          <w:p w:rsidR="008F206F" w:rsidRPr="005A5687" w:rsidRDefault="008F206F" w:rsidP="00AC132F">
            <w:pPr>
              <w:pStyle w:val="Geenafstand"/>
              <w:rPr>
                <w:rFonts w:ascii="Times New Roman" w:hAnsi="Times New Roman"/>
                <w:sz w:val="20"/>
                <w:szCs w:val="20"/>
              </w:rPr>
            </w:pPr>
            <w:r w:rsidRPr="005A5687">
              <w:rPr>
                <w:rFonts w:ascii="Times New Roman" w:hAnsi="Times New Roman"/>
                <w:sz w:val="20"/>
                <w:szCs w:val="20"/>
              </w:rPr>
              <w:t>30</w:t>
            </w:r>
          </w:p>
        </w:tc>
      </w:tr>
      <w:tr w:rsidR="008F206F" w:rsidRPr="005A5687" w:rsidTr="006D5210">
        <w:tc>
          <w:tcPr>
            <w:tcW w:w="2303" w:type="dxa"/>
          </w:tcPr>
          <w:p w:rsidR="008F206F" w:rsidRPr="005A5687" w:rsidRDefault="008F206F" w:rsidP="00AC132F">
            <w:pPr>
              <w:pStyle w:val="Geenafstand"/>
              <w:rPr>
                <w:rFonts w:ascii="Times New Roman" w:hAnsi="Times New Roman"/>
                <w:b/>
                <w:bCs/>
                <w:sz w:val="20"/>
                <w:szCs w:val="20"/>
              </w:rPr>
            </w:pPr>
            <w:proofErr w:type="spellStart"/>
            <w:r w:rsidRPr="005A5687">
              <w:rPr>
                <w:rFonts w:ascii="Times New Roman" w:hAnsi="Times New Roman"/>
                <w:b/>
                <w:bCs/>
                <w:sz w:val="20"/>
                <w:szCs w:val="20"/>
              </w:rPr>
              <w:t>US.neg</w:t>
            </w:r>
            <w:proofErr w:type="spellEnd"/>
            <w:r w:rsidRPr="005A5687">
              <w:rPr>
                <w:rFonts w:ascii="Times New Roman" w:hAnsi="Times New Roman"/>
                <w:b/>
                <w:bCs/>
                <w:sz w:val="20"/>
                <w:szCs w:val="20"/>
              </w:rPr>
              <w:t>.</w:t>
            </w:r>
          </w:p>
        </w:tc>
        <w:tc>
          <w:tcPr>
            <w:tcW w:w="2303" w:type="dxa"/>
          </w:tcPr>
          <w:p w:rsidR="008F206F" w:rsidRPr="005A5687" w:rsidRDefault="008F206F" w:rsidP="002F3614">
            <w:pPr>
              <w:pStyle w:val="Geenafstand"/>
              <w:rPr>
                <w:rFonts w:ascii="Times New Roman" w:hAnsi="Times New Roman"/>
                <w:sz w:val="20"/>
                <w:szCs w:val="20"/>
              </w:rPr>
            </w:pPr>
            <w:r w:rsidRPr="005A5687">
              <w:rPr>
                <w:rFonts w:ascii="Times New Roman" w:hAnsi="Times New Roman"/>
                <w:sz w:val="20"/>
                <w:szCs w:val="20"/>
              </w:rPr>
              <w:t xml:space="preserve">1 </w:t>
            </w:r>
          </w:p>
        </w:tc>
        <w:tc>
          <w:tcPr>
            <w:tcW w:w="2303" w:type="dxa"/>
          </w:tcPr>
          <w:p w:rsidR="008F206F" w:rsidRPr="005A5687" w:rsidRDefault="008F206F" w:rsidP="002F3614">
            <w:pPr>
              <w:pStyle w:val="Geenafstand"/>
              <w:rPr>
                <w:rFonts w:ascii="Times New Roman" w:hAnsi="Times New Roman"/>
                <w:sz w:val="20"/>
                <w:szCs w:val="20"/>
              </w:rPr>
            </w:pPr>
            <w:r w:rsidRPr="005A5687">
              <w:rPr>
                <w:rFonts w:ascii="Times New Roman" w:hAnsi="Times New Roman"/>
                <w:sz w:val="20"/>
                <w:szCs w:val="20"/>
              </w:rPr>
              <w:t>24 *</w:t>
            </w:r>
          </w:p>
        </w:tc>
        <w:tc>
          <w:tcPr>
            <w:tcW w:w="2303" w:type="dxa"/>
          </w:tcPr>
          <w:p w:rsidR="008F206F" w:rsidRPr="005A5687" w:rsidRDefault="008F206F" w:rsidP="00AC132F">
            <w:pPr>
              <w:pStyle w:val="Geenafstand"/>
              <w:rPr>
                <w:rFonts w:ascii="Times New Roman" w:hAnsi="Times New Roman"/>
                <w:sz w:val="20"/>
                <w:szCs w:val="20"/>
              </w:rPr>
            </w:pPr>
            <w:r w:rsidRPr="005A5687">
              <w:rPr>
                <w:rFonts w:ascii="Times New Roman" w:hAnsi="Times New Roman"/>
                <w:sz w:val="20"/>
                <w:szCs w:val="20"/>
              </w:rPr>
              <w:t>25</w:t>
            </w:r>
          </w:p>
        </w:tc>
      </w:tr>
      <w:tr w:rsidR="008F206F" w:rsidRPr="005A5687" w:rsidTr="006D5210">
        <w:tc>
          <w:tcPr>
            <w:tcW w:w="2303" w:type="dxa"/>
            <w:tcBorders>
              <w:left w:val="nil"/>
              <w:bottom w:val="single" w:sz="8" w:space="0" w:color="000000"/>
              <w:right w:val="nil"/>
            </w:tcBorders>
            <w:shd w:val="clear" w:color="auto" w:fill="C0C0C0"/>
          </w:tcPr>
          <w:p w:rsidR="008F206F" w:rsidRPr="005A5687" w:rsidRDefault="008F206F" w:rsidP="00AC132F">
            <w:pPr>
              <w:pStyle w:val="Geenafstand"/>
              <w:rPr>
                <w:rFonts w:ascii="Times New Roman" w:hAnsi="Times New Roman"/>
                <w:b/>
                <w:bCs/>
                <w:sz w:val="20"/>
                <w:szCs w:val="20"/>
              </w:rPr>
            </w:pPr>
            <w:r w:rsidRPr="005A5687">
              <w:rPr>
                <w:rFonts w:ascii="Times New Roman" w:hAnsi="Times New Roman"/>
                <w:b/>
                <w:bCs/>
                <w:sz w:val="20"/>
                <w:szCs w:val="20"/>
              </w:rPr>
              <w:t>Totaal</w:t>
            </w:r>
          </w:p>
        </w:tc>
        <w:tc>
          <w:tcPr>
            <w:tcW w:w="2303" w:type="dxa"/>
            <w:tcBorders>
              <w:left w:val="nil"/>
              <w:bottom w:val="single" w:sz="8" w:space="0" w:color="000000"/>
              <w:right w:val="nil"/>
            </w:tcBorders>
            <w:shd w:val="clear" w:color="auto" w:fill="C0C0C0"/>
          </w:tcPr>
          <w:p w:rsidR="008F206F" w:rsidRPr="005A5687" w:rsidRDefault="008F206F" w:rsidP="0060711D">
            <w:pPr>
              <w:pStyle w:val="Geenafstand"/>
              <w:rPr>
                <w:rFonts w:ascii="Times New Roman" w:hAnsi="Times New Roman"/>
                <w:sz w:val="20"/>
                <w:szCs w:val="20"/>
              </w:rPr>
            </w:pPr>
            <w:r w:rsidRPr="005A5687">
              <w:rPr>
                <w:rFonts w:ascii="Times New Roman" w:hAnsi="Times New Roman"/>
                <w:sz w:val="20"/>
                <w:szCs w:val="20"/>
              </w:rPr>
              <w:t xml:space="preserve">29 </w:t>
            </w:r>
          </w:p>
        </w:tc>
        <w:tc>
          <w:tcPr>
            <w:tcW w:w="2303" w:type="dxa"/>
            <w:tcBorders>
              <w:left w:val="nil"/>
              <w:bottom w:val="single" w:sz="8" w:space="0" w:color="000000"/>
              <w:right w:val="nil"/>
            </w:tcBorders>
            <w:shd w:val="clear" w:color="auto" w:fill="C0C0C0"/>
          </w:tcPr>
          <w:p w:rsidR="008F206F" w:rsidRPr="005A5687" w:rsidRDefault="008F206F" w:rsidP="0060711D">
            <w:pPr>
              <w:pStyle w:val="Geenafstand"/>
              <w:rPr>
                <w:rFonts w:ascii="Times New Roman" w:hAnsi="Times New Roman"/>
                <w:sz w:val="20"/>
                <w:szCs w:val="20"/>
              </w:rPr>
            </w:pPr>
            <w:r w:rsidRPr="005A5687">
              <w:rPr>
                <w:rFonts w:ascii="Times New Roman" w:hAnsi="Times New Roman"/>
                <w:sz w:val="20"/>
                <w:szCs w:val="20"/>
              </w:rPr>
              <w:t>26</w:t>
            </w:r>
          </w:p>
        </w:tc>
        <w:tc>
          <w:tcPr>
            <w:tcW w:w="2303" w:type="dxa"/>
            <w:tcBorders>
              <w:left w:val="nil"/>
              <w:bottom w:val="single" w:sz="8" w:space="0" w:color="000000"/>
              <w:right w:val="nil"/>
            </w:tcBorders>
            <w:shd w:val="clear" w:color="auto" w:fill="C0C0C0"/>
          </w:tcPr>
          <w:p w:rsidR="008F206F" w:rsidRPr="005A5687" w:rsidRDefault="008F206F" w:rsidP="00AC132F">
            <w:pPr>
              <w:pStyle w:val="Geenafstand"/>
              <w:rPr>
                <w:rFonts w:ascii="Times New Roman" w:hAnsi="Times New Roman"/>
                <w:sz w:val="20"/>
                <w:szCs w:val="20"/>
              </w:rPr>
            </w:pPr>
            <w:r w:rsidRPr="005A5687">
              <w:rPr>
                <w:rFonts w:ascii="Times New Roman" w:hAnsi="Times New Roman"/>
                <w:sz w:val="20"/>
                <w:szCs w:val="20"/>
              </w:rPr>
              <w:t>55</w:t>
            </w:r>
          </w:p>
        </w:tc>
      </w:tr>
    </w:tbl>
    <w:p w:rsidR="008F206F" w:rsidRPr="005A5687" w:rsidRDefault="008F206F" w:rsidP="002F3614">
      <w:pPr>
        <w:pStyle w:val="Geenafstand"/>
        <w:ind w:left="360"/>
        <w:rPr>
          <w:rFonts w:ascii="Times New Roman" w:hAnsi="Times New Roman"/>
          <w:sz w:val="20"/>
          <w:szCs w:val="20"/>
          <w:lang w:val="en-US"/>
        </w:rPr>
      </w:pPr>
      <w:r w:rsidRPr="005A5687">
        <w:rPr>
          <w:rFonts w:ascii="Times New Roman" w:hAnsi="Times New Roman"/>
          <w:sz w:val="20"/>
          <w:szCs w:val="20"/>
          <w:lang w:val="en-US"/>
        </w:rPr>
        <w:t>* conservatively  treated Group, mean follow-up 11 months</w:t>
      </w:r>
    </w:p>
    <w:p w:rsidR="008F206F" w:rsidRPr="005A5687" w:rsidRDefault="008F206F" w:rsidP="002F3614">
      <w:pPr>
        <w:pStyle w:val="Geenafstand"/>
        <w:rPr>
          <w:rFonts w:ascii="Times New Roman" w:hAnsi="Times New Roman"/>
          <w:sz w:val="20"/>
          <w:szCs w:val="20"/>
          <w:lang w:val="en-US"/>
        </w:rPr>
      </w:pPr>
      <w:r w:rsidRPr="005A5687">
        <w:rPr>
          <w:rFonts w:ascii="Times New Roman" w:hAnsi="Times New Roman"/>
          <w:b/>
          <w:sz w:val="20"/>
          <w:szCs w:val="20"/>
          <w:lang w:val="en-US"/>
        </w:rPr>
        <w:t>Sensitivity</w:t>
      </w:r>
      <w:r w:rsidRPr="005A5687">
        <w:rPr>
          <w:rFonts w:ascii="Times New Roman" w:hAnsi="Times New Roman"/>
          <w:sz w:val="20"/>
          <w:szCs w:val="20"/>
          <w:lang w:val="en-US"/>
        </w:rPr>
        <w:t xml:space="preserve">                       </w:t>
      </w:r>
      <w:r w:rsidRPr="005A5687">
        <w:rPr>
          <w:rFonts w:ascii="Times New Roman" w:hAnsi="Times New Roman"/>
          <w:sz w:val="20"/>
          <w:szCs w:val="20"/>
          <w:lang w:val="en-US"/>
        </w:rPr>
        <w:tab/>
      </w:r>
      <w:r w:rsidRPr="005A5687">
        <w:rPr>
          <w:rFonts w:ascii="Times New Roman" w:hAnsi="Times New Roman"/>
          <w:b/>
          <w:sz w:val="20"/>
          <w:szCs w:val="20"/>
          <w:lang w:val="en-US"/>
        </w:rPr>
        <w:t xml:space="preserve"> 0,93</w:t>
      </w:r>
    </w:p>
    <w:p w:rsidR="008F206F" w:rsidRPr="005A5687" w:rsidRDefault="008F206F" w:rsidP="002F3614">
      <w:pPr>
        <w:pStyle w:val="Geenafstand"/>
        <w:rPr>
          <w:rFonts w:ascii="Times New Roman" w:hAnsi="Times New Roman"/>
          <w:b/>
          <w:sz w:val="20"/>
          <w:szCs w:val="20"/>
          <w:lang w:val="en-US"/>
        </w:rPr>
      </w:pPr>
      <w:r w:rsidRPr="005A5687">
        <w:rPr>
          <w:rFonts w:ascii="Times New Roman" w:hAnsi="Times New Roman"/>
          <w:b/>
          <w:sz w:val="20"/>
          <w:szCs w:val="20"/>
          <w:lang w:val="en-US"/>
        </w:rPr>
        <w:t>Specificity</w:t>
      </w:r>
      <w:r w:rsidRPr="005A5687">
        <w:rPr>
          <w:rFonts w:ascii="Times New Roman" w:hAnsi="Times New Roman"/>
          <w:sz w:val="20"/>
          <w:szCs w:val="20"/>
          <w:lang w:val="en-US"/>
        </w:rPr>
        <w:t xml:space="preserve">                       </w:t>
      </w:r>
      <w:r w:rsidRPr="005A5687">
        <w:rPr>
          <w:rFonts w:ascii="Times New Roman" w:hAnsi="Times New Roman"/>
          <w:sz w:val="20"/>
          <w:szCs w:val="20"/>
          <w:lang w:val="en-US"/>
        </w:rPr>
        <w:tab/>
      </w:r>
      <w:r w:rsidRPr="005A5687">
        <w:rPr>
          <w:rFonts w:ascii="Times New Roman" w:hAnsi="Times New Roman"/>
          <w:b/>
          <w:sz w:val="20"/>
          <w:szCs w:val="20"/>
          <w:lang w:val="en-US"/>
        </w:rPr>
        <w:t xml:space="preserve"> 0,96</w:t>
      </w:r>
    </w:p>
    <w:p w:rsidR="008F206F" w:rsidRPr="005A5687" w:rsidRDefault="008F206F" w:rsidP="002F3614">
      <w:pPr>
        <w:pStyle w:val="Geenafstand"/>
        <w:rPr>
          <w:rFonts w:ascii="Times New Roman" w:hAnsi="Times New Roman"/>
          <w:sz w:val="20"/>
          <w:szCs w:val="20"/>
          <w:lang w:val="en-US"/>
        </w:rPr>
      </w:pPr>
      <w:r w:rsidRPr="005A5687">
        <w:rPr>
          <w:rFonts w:ascii="Times New Roman" w:hAnsi="Times New Roman"/>
          <w:b/>
          <w:sz w:val="20"/>
          <w:szCs w:val="20"/>
          <w:lang w:val="en-US"/>
        </w:rPr>
        <w:t>Pos. predicted value</w:t>
      </w:r>
      <w:r w:rsidRPr="005A5687">
        <w:rPr>
          <w:rFonts w:ascii="Times New Roman" w:hAnsi="Times New Roman"/>
          <w:sz w:val="20"/>
          <w:szCs w:val="20"/>
          <w:lang w:val="en-US"/>
        </w:rPr>
        <w:tab/>
        <w:t xml:space="preserve"> </w:t>
      </w:r>
      <w:r w:rsidRPr="005A5687">
        <w:rPr>
          <w:rFonts w:ascii="Times New Roman" w:hAnsi="Times New Roman"/>
          <w:b/>
          <w:sz w:val="20"/>
          <w:szCs w:val="20"/>
          <w:lang w:val="en-US"/>
        </w:rPr>
        <w:t>0,97</w:t>
      </w:r>
    </w:p>
    <w:p w:rsidR="008F206F" w:rsidRPr="005A5687" w:rsidRDefault="008F206F" w:rsidP="002F3614">
      <w:pPr>
        <w:pStyle w:val="Geenafstand"/>
        <w:rPr>
          <w:rFonts w:ascii="Times New Roman" w:hAnsi="Times New Roman"/>
          <w:b/>
          <w:sz w:val="20"/>
          <w:szCs w:val="20"/>
          <w:lang w:val="en-US"/>
        </w:rPr>
      </w:pPr>
      <w:r w:rsidRPr="005A5687">
        <w:rPr>
          <w:rFonts w:ascii="Times New Roman" w:hAnsi="Times New Roman"/>
          <w:b/>
          <w:sz w:val="20"/>
          <w:szCs w:val="20"/>
          <w:lang w:val="en-US"/>
        </w:rPr>
        <w:t>Neg. predicted value</w:t>
      </w:r>
      <w:r w:rsidRPr="005A5687">
        <w:rPr>
          <w:rFonts w:ascii="Times New Roman" w:hAnsi="Times New Roman"/>
          <w:sz w:val="20"/>
          <w:szCs w:val="20"/>
          <w:lang w:val="en-US"/>
        </w:rPr>
        <w:tab/>
      </w:r>
      <w:r w:rsidRPr="005A5687">
        <w:rPr>
          <w:rFonts w:ascii="Times New Roman" w:hAnsi="Times New Roman"/>
          <w:b/>
          <w:sz w:val="20"/>
          <w:szCs w:val="20"/>
          <w:lang w:val="en-US"/>
        </w:rPr>
        <w:t xml:space="preserve"> 0,92</w:t>
      </w:r>
    </w:p>
    <w:p w:rsidR="00605CDE" w:rsidRPr="005A5687" w:rsidRDefault="00605CDE" w:rsidP="004E3E5D">
      <w:pPr>
        <w:rPr>
          <w:sz w:val="20"/>
          <w:szCs w:val="20"/>
        </w:rPr>
      </w:pPr>
    </w:p>
    <w:p w:rsidR="008F206F" w:rsidRPr="005A5687" w:rsidRDefault="008F206F" w:rsidP="004E3E5D">
      <w:pPr>
        <w:rPr>
          <w:b/>
          <w:sz w:val="20"/>
          <w:szCs w:val="20"/>
        </w:rPr>
      </w:pPr>
      <w:r w:rsidRPr="005A5687">
        <w:rPr>
          <w:b/>
          <w:sz w:val="20"/>
          <w:szCs w:val="20"/>
        </w:rPr>
        <w:t>DISCUSSION</w:t>
      </w:r>
      <w:r w:rsidR="00605CDE" w:rsidRPr="005A5687">
        <w:rPr>
          <w:b/>
          <w:sz w:val="20"/>
          <w:szCs w:val="20"/>
        </w:rPr>
        <w:t>:</w:t>
      </w:r>
    </w:p>
    <w:p w:rsidR="008F206F" w:rsidRPr="005A5687" w:rsidRDefault="008F206F" w:rsidP="004E3E5D">
      <w:pPr>
        <w:rPr>
          <w:sz w:val="20"/>
          <w:szCs w:val="20"/>
        </w:rPr>
      </w:pPr>
      <w:r w:rsidRPr="005A5687">
        <w:rPr>
          <w:sz w:val="20"/>
          <w:szCs w:val="20"/>
        </w:rPr>
        <w:t>This preliminary study is needed to justify the next step of investigation which could be a blinded study in which the surgeon is not aware of the preoperative findings.</w:t>
      </w:r>
    </w:p>
    <w:p w:rsidR="008F206F" w:rsidRPr="005A5687" w:rsidRDefault="008F206F" w:rsidP="004E3E5D">
      <w:pPr>
        <w:rPr>
          <w:sz w:val="20"/>
          <w:szCs w:val="20"/>
        </w:rPr>
      </w:pPr>
      <w:r w:rsidRPr="005A5687">
        <w:rPr>
          <w:sz w:val="20"/>
          <w:szCs w:val="20"/>
        </w:rPr>
        <w:t>This could also be combined with a comparative study with MRI.</w:t>
      </w:r>
    </w:p>
    <w:p w:rsidR="008F206F" w:rsidRPr="005A5687" w:rsidRDefault="008F206F" w:rsidP="004E3E5D">
      <w:pPr>
        <w:rPr>
          <w:sz w:val="20"/>
          <w:szCs w:val="20"/>
        </w:rPr>
      </w:pPr>
      <w:r w:rsidRPr="005A5687">
        <w:rPr>
          <w:sz w:val="20"/>
          <w:szCs w:val="20"/>
        </w:rPr>
        <w:t xml:space="preserve">New techniques like power Doppler, 3D imaging and improved image quality is believed to produce even better results for sensibility and specificity. </w:t>
      </w:r>
    </w:p>
    <w:p w:rsidR="008F206F" w:rsidRPr="005A5687" w:rsidRDefault="008F206F" w:rsidP="004E3E5D">
      <w:pPr>
        <w:rPr>
          <w:sz w:val="20"/>
          <w:szCs w:val="20"/>
        </w:rPr>
      </w:pPr>
      <w:r w:rsidRPr="005A5687">
        <w:rPr>
          <w:sz w:val="20"/>
          <w:szCs w:val="20"/>
        </w:rPr>
        <w:t xml:space="preserve">Recent guidelines for preoperative imaging have focused to MRI imaging, which can be time consuming and expensive. Large cost reduction can be achieved if ultrasound imaging would be an alternative tool with comparable results and imaging quality.   </w:t>
      </w:r>
    </w:p>
    <w:p w:rsidR="008F206F" w:rsidRPr="005A5687" w:rsidRDefault="008F206F" w:rsidP="004E3E5D">
      <w:pPr>
        <w:rPr>
          <w:sz w:val="20"/>
          <w:szCs w:val="20"/>
        </w:rPr>
      </w:pPr>
    </w:p>
    <w:p w:rsidR="008F206F" w:rsidRPr="005A5687" w:rsidRDefault="008F206F" w:rsidP="0005250E">
      <w:pPr>
        <w:rPr>
          <w:b/>
          <w:sz w:val="20"/>
          <w:szCs w:val="20"/>
        </w:rPr>
      </w:pPr>
      <w:r w:rsidRPr="005A5687">
        <w:rPr>
          <w:b/>
          <w:sz w:val="20"/>
          <w:szCs w:val="20"/>
        </w:rPr>
        <w:t>CONCLUSION:</w:t>
      </w:r>
    </w:p>
    <w:p w:rsidR="008F206F" w:rsidRPr="005A5687" w:rsidRDefault="008F206F" w:rsidP="00084D44">
      <w:pPr>
        <w:rPr>
          <w:sz w:val="20"/>
          <w:szCs w:val="20"/>
        </w:rPr>
      </w:pPr>
      <w:r w:rsidRPr="005A5687">
        <w:rPr>
          <w:sz w:val="20"/>
          <w:szCs w:val="20"/>
        </w:rPr>
        <w:t xml:space="preserve">US is a valuable alternative tool to decide about the necessarily of a surgical procedure in acute knee injury.  In our study the method was validated and deserves further research. </w:t>
      </w:r>
    </w:p>
    <w:p w:rsidR="008F206F" w:rsidRPr="005A5687" w:rsidRDefault="008F206F" w:rsidP="0005250E">
      <w:pPr>
        <w:rPr>
          <w:sz w:val="20"/>
          <w:szCs w:val="20"/>
        </w:rPr>
      </w:pPr>
      <w:r w:rsidRPr="005A5687">
        <w:rPr>
          <w:sz w:val="20"/>
          <w:szCs w:val="20"/>
        </w:rPr>
        <w:t xml:space="preserve">     </w:t>
      </w:r>
    </w:p>
    <w:p w:rsidR="001C0F78" w:rsidRPr="005A5687" w:rsidRDefault="001C0F78" w:rsidP="001C0F78">
      <w:pPr>
        <w:jc w:val="right"/>
        <w:rPr>
          <w:sz w:val="18"/>
          <w:szCs w:val="18"/>
          <w:lang w:val="nl-NL"/>
        </w:rPr>
      </w:pPr>
      <w:r w:rsidRPr="005A5687">
        <w:rPr>
          <w:sz w:val="18"/>
          <w:szCs w:val="18"/>
          <w:lang w:val="nl-NL"/>
        </w:rPr>
        <w:t>ICONE</w:t>
      </w:r>
    </w:p>
    <w:p w:rsidR="001C0F78" w:rsidRPr="005A5687" w:rsidRDefault="007B7CC3" w:rsidP="001C0F78">
      <w:pPr>
        <w:jc w:val="right"/>
        <w:rPr>
          <w:sz w:val="18"/>
          <w:szCs w:val="18"/>
          <w:lang w:val="nl-NL"/>
        </w:rPr>
      </w:pPr>
      <w:r>
        <w:rPr>
          <w:noProof/>
          <w:sz w:val="18"/>
          <w:szCs w:val="18"/>
        </w:rPr>
        <w:drawing>
          <wp:anchor distT="0" distB="0" distL="114300" distR="114300" simplePos="0" relativeHeight="251662336" behindDoc="0" locked="0" layoutInCell="1" allowOverlap="1">
            <wp:simplePos x="0" y="0"/>
            <wp:positionH relativeFrom="column">
              <wp:posOffset>22860</wp:posOffset>
            </wp:positionH>
            <wp:positionV relativeFrom="paragraph">
              <wp:posOffset>57785</wp:posOffset>
            </wp:positionV>
            <wp:extent cx="1061085" cy="616585"/>
            <wp:effectExtent l="19050" t="0" r="5715" b="0"/>
            <wp:wrapSquare wrapText="bothSides"/>
            <wp:docPr id="1" name="Afbeelding 1" descr="http://aclstudygroup.net/sites/default/files/logo.png"/>
            <wp:cNvGraphicFramePr/>
            <a:graphic xmlns:a="http://schemas.openxmlformats.org/drawingml/2006/main">
              <a:graphicData uri="http://schemas.openxmlformats.org/drawingml/2006/picture">
                <pic:pic xmlns:pic="http://schemas.openxmlformats.org/drawingml/2006/picture">
                  <pic:nvPicPr>
                    <pic:cNvPr id="4" name="Picture 2" descr="http://aclstudygroup.net/sites/default/files/logo.png"/>
                    <pic:cNvPicPr>
                      <a:picLocks noChangeAspect="1" noChangeArrowheads="1"/>
                    </pic:cNvPicPr>
                  </pic:nvPicPr>
                  <pic:blipFill>
                    <a:blip r:embed="rId7" cstate="print"/>
                    <a:srcRect/>
                    <a:stretch>
                      <a:fillRect/>
                    </a:stretch>
                  </pic:blipFill>
                  <pic:spPr bwMode="auto">
                    <a:xfrm>
                      <a:off x="0" y="0"/>
                      <a:ext cx="1061085" cy="616585"/>
                    </a:xfrm>
                    <a:prstGeom prst="rect">
                      <a:avLst/>
                    </a:prstGeom>
                    <a:noFill/>
                  </pic:spPr>
                </pic:pic>
              </a:graphicData>
            </a:graphic>
          </wp:anchor>
        </w:drawing>
      </w:r>
      <w:proofErr w:type="spellStart"/>
      <w:r w:rsidR="001C0F78" w:rsidRPr="005A5687">
        <w:rPr>
          <w:sz w:val="18"/>
          <w:szCs w:val="18"/>
          <w:lang w:val="nl-NL"/>
        </w:rPr>
        <w:t>Orthopedics</w:t>
      </w:r>
      <w:proofErr w:type="spellEnd"/>
      <w:r w:rsidR="001C0F78" w:rsidRPr="005A5687">
        <w:rPr>
          <w:sz w:val="18"/>
          <w:szCs w:val="18"/>
          <w:lang w:val="nl-NL"/>
        </w:rPr>
        <w:t xml:space="preserve"> &amp; </w:t>
      </w:r>
      <w:proofErr w:type="spellStart"/>
      <w:r w:rsidR="001C0F78" w:rsidRPr="005A5687">
        <w:rPr>
          <w:sz w:val="18"/>
          <w:szCs w:val="18"/>
          <w:lang w:val="nl-NL"/>
        </w:rPr>
        <w:t>Sports</w:t>
      </w:r>
      <w:proofErr w:type="spellEnd"/>
      <w:r w:rsidR="001C0F78" w:rsidRPr="005A5687">
        <w:rPr>
          <w:sz w:val="18"/>
          <w:szCs w:val="18"/>
          <w:lang w:val="nl-NL"/>
        </w:rPr>
        <w:t xml:space="preserve"> </w:t>
      </w:r>
      <w:proofErr w:type="spellStart"/>
      <w:r w:rsidR="001C0F78" w:rsidRPr="005A5687">
        <w:rPr>
          <w:sz w:val="18"/>
          <w:szCs w:val="18"/>
          <w:lang w:val="nl-NL"/>
        </w:rPr>
        <w:t>Traumatology</w:t>
      </w:r>
      <w:proofErr w:type="spellEnd"/>
    </w:p>
    <w:p w:rsidR="001C0F78" w:rsidRPr="005A5687" w:rsidRDefault="001C0F78" w:rsidP="001C0F78">
      <w:pPr>
        <w:jc w:val="right"/>
        <w:rPr>
          <w:sz w:val="18"/>
          <w:szCs w:val="18"/>
          <w:lang w:val="nl-NL"/>
        </w:rPr>
      </w:pPr>
      <w:r w:rsidRPr="005A5687">
        <w:rPr>
          <w:i/>
          <w:sz w:val="18"/>
          <w:szCs w:val="18"/>
          <w:lang w:val="nl-NL"/>
        </w:rPr>
        <w:t xml:space="preserve"> Eindhoven – Schijndel – Best</w:t>
      </w:r>
    </w:p>
    <w:p w:rsidR="001C0F78" w:rsidRPr="005A5687" w:rsidRDefault="005A5687" w:rsidP="001C0F78">
      <w:pPr>
        <w:jc w:val="right"/>
        <w:rPr>
          <w:sz w:val="18"/>
          <w:szCs w:val="18"/>
        </w:rPr>
      </w:pPr>
      <w:proofErr w:type="spellStart"/>
      <w:r w:rsidRPr="005A5687">
        <w:rPr>
          <w:sz w:val="18"/>
          <w:szCs w:val="18"/>
        </w:rPr>
        <w:t>Postbus</w:t>
      </w:r>
      <w:proofErr w:type="spellEnd"/>
      <w:r w:rsidRPr="005A5687">
        <w:rPr>
          <w:sz w:val="18"/>
          <w:szCs w:val="18"/>
        </w:rPr>
        <w:t xml:space="preserve"> 41</w:t>
      </w:r>
    </w:p>
    <w:p w:rsidR="001C0F78" w:rsidRPr="005A5687" w:rsidRDefault="005A5687" w:rsidP="001C0F78">
      <w:pPr>
        <w:jc w:val="right"/>
        <w:rPr>
          <w:sz w:val="18"/>
          <w:szCs w:val="18"/>
        </w:rPr>
      </w:pPr>
      <w:r w:rsidRPr="005A5687">
        <w:rPr>
          <w:sz w:val="18"/>
          <w:szCs w:val="18"/>
        </w:rPr>
        <w:t>5480AA Schijndel</w:t>
      </w:r>
    </w:p>
    <w:p w:rsidR="001C0F78" w:rsidRPr="005A5687" w:rsidRDefault="001C0F78" w:rsidP="001C0F78">
      <w:pPr>
        <w:jc w:val="right"/>
        <w:rPr>
          <w:sz w:val="18"/>
          <w:szCs w:val="18"/>
        </w:rPr>
      </w:pPr>
      <w:r w:rsidRPr="005A5687">
        <w:rPr>
          <w:sz w:val="18"/>
          <w:szCs w:val="18"/>
        </w:rPr>
        <w:t>The Netherlands</w:t>
      </w:r>
    </w:p>
    <w:p w:rsidR="001C0F78" w:rsidRPr="005A5687" w:rsidRDefault="00FE460E" w:rsidP="001C0F78">
      <w:pPr>
        <w:jc w:val="right"/>
        <w:rPr>
          <w:sz w:val="18"/>
          <w:szCs w:val="18"/>
        </w:rPr>
      </w:pPr>
      <w:hyperlink r:id="rId8" w:history="1">
        <w:r w:rsidR="001C0F78" w:rsidRPr="005A5687">
          <w:rPr>
            <w:rStyle w:val="Hyperlink"/>
            <w:color w:val="auto"/>
            <w:sz w:val="18"/>
            <w:szCs w:val="18"/>
          </w:rPr>
          <w:t>info@icone.nl</w:t>
        </w:r>
      </w:hyperlink>
    </w:p>
    <w:p w:rsidR="008F206F" w:rsidRPr="005A5687" w:rsidRDefault="00FE460E" w:rsidP="001C0F78">
      <w:pPr>
        <w:jc w:val="right"/>
        <w:rPr>
          <w:sz w:val="18"/>
          <w:szCs w:val="18"/>
        </w:rPr>
      </w:pPr>
      <w:hyperlink r:id="rId9" w:history="1">
        <w:r w:rsidR="001C0F78" w:rsidRPr="005A5687">
          <w:rPr>
            <w:rStyle w:val="Hyperlink"/>
            <w:color w:val="auto"/>
            <w:sz w:val="18"/>
            <w:szCs w:val="18"/>
          </w:rPr>
          <w:t>www.icone.nl</w:t>
        </w:r>
      </w:hyperlink>
    </w:p>
    <w:sectPr w:rsidR="008F206F" w:rsidRPr="005A5687" w:rsidSect="001C0F78">
      <w:endnotePr>
        <w:numFmt w:val="decimal"/>
      </w:endnotePr>
      <w:type w:val="continuous"/>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85" w:rsidRDefault="00250B85" w:rsidP="00AA2A3F">
      <w:r>
        <w:separator/>
      </w:r>
    </w:p>
  </w:endnote>
  <w:endnote w:type="continuationSeparator" w:id="0">
    <w:p w:rsidR="00250B85" w:rsidRDefault="00250B85" w:rsidP="00AA2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85" w:rsidRDefault="00250B85" w:rsidP="00AA2A3F">
      <w:r>
        <w:separator/>
      </w:r>
    </w:p>
  </w:footnote>
  <w:footnote w:type="continuationSeparator" w:id="0">
    <w:p w:rsidR="00250B85" w:rsidRDefault="00250B85" w:rsidP="00AA2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numFmt w:val="decimal"/>
    <w:endnote w:id="-1"/>
    <w:endnote w:id="0"/>
  </w:endnotePr>
  <w:compat/>
  <w:rsids>
    <w:rsidRoot w:val="004D37D3"/>
    <w:rsid w:val="00000CCC"/>
    <w:rsid w:val="00003E9E"/>
    <w:rsid w:val="00044DEC"/>
    <w:rsid w:val="0005250E"/>
    <w:rsid w:val="0006090F"/>
    <w:rsid w:val="00083859"/>
    <w:rsid w:val="00084D44"/>
    <w:rsid w:val="0009058B"/>
    <w:rsid w:val="000B42C9"/>
    <w:rsid w:val="000B5C69"/>
    <w:rsid w:val="000D2ECC"/>
    <w:rsid w:val="000E42E9"/>
    <w:rsid w:val="0017744D"/>
    <w:rsid w:val="001C0F78"/>
    <w:rsid w:val="001D00F3"/>
    <w:rsid w:val="0021274E"/>
    <w:rsid w:val="00213A7B"/>
    <w:rsid w:val="002206D0"/>
    <w:rsid w:val="00240FFC"/>
    <w:rsid w:val="00250B85"/>
    <w:rsid w:val="00261388"/>
    <w:rsid w:val="002D15D1"/>
    <w:rsid w:val="002D31CD"/>
    <w:rsid w:val="002F3614"/>
    <w:rsid w:val="003158B4"/>
    <w:rsid w:val="003218AC"/>
    <w:rsid w:val="00340DE4"/>
    <w:rsid w:val="00370B20"/>
    <w:rsid w:val="00381E20"/>
    <w:rsid w:val="00384608"/>
    <w:rsid w:val="003D4237"/>
    <w:rsid w:val="00405C1A"/>
    <w:rsid w:val="004107E7"/>
    <w:rsid w:val="0042242A"/>
    <w:rsid w:val="0042622B"/>
    <w:rsid w:val="00441332"/>
    <w:rsid w:val="00466C4F"/>
    <w:rsid w:val="004C3377"/>
    <w:rsid w:val="004D1044"/>
    <w:rsid w:val="004D37D3"/>
    <w:rsid w:val="004D7D22"/>
    <w:rsid w:val="004E3E5D"/>
    <w:rsid w:val="00517C6B"/>
    <w:rsid w:val="00537593"/>
    <w:rsid w:val="00537F3A"/>
    <w:rsid w:val="00576890"/>
    <w:rsid w:val="00590E59"/>
    <w:rsid w:val="005A5687"/>
    <w:rsid w:val="00605CDE"/>
    <w:rsid w:val="0060711D"/>
    <w:rsid w:val="00625FA5"/>
    <w:rsid w:val="00654951"/>
    <w:rsid w:val="00671CF6"/>
    <w:rsid w:val="00681808"/>
    <w:rsid w:val="006923BA"/>
    <w:rsid w:val="00694547"/>
    <w:rsid w:val="006B5589"/>
    <w:rsid w:val="006D1C52"/>
    <w:rsid w:val="006D5210"/>
    <w:rsid w:val="00707495"/>
    <w:rsid w:val="007163F9"/>
    <w:rsid w:val="007170C2"/>
    <w:rsid w:val="00736756"/>
    <w:rsid w:val="00761108"/>
    <w:rsid w:val="007B22C0"/>
    <w:rsid w:val="007B7CC3"/>
    <w:rsid w:val="00807E74"/>
    <w:rsid w:val="0083109D"/>
    <w:rsid w:val="0083307B"/>
    <w:rsid w:val="008338F8"/>
    <w:rsid w:val="0083622C"/>
    <w:rsid w:val="00850C8A"/>
    <w:rsid w:val="00872F24"/>
    <w:rsid w:val="008B585C"/>
    <w:rsid w:val="008C299F"/>
    <w:rsid w:val="008C7B28"/>
    <w:rsid w:val="008F206F"/>
    <w:rsid w:val="00906C56"/>
    <w:rsid w:val="00920E10"/>
    <w:rsid w:val="00940875"/>
    <w:rsid w:val="00947310"/>
    <w:rsid w:val="0094789D"/>
    <w:rsid w:val="009851DC"/>
    <w:rsid w:val="0099148B"/>
    <w:rsid w:val="009A56A2"/>
    <w:rsid w:val="009D74A0"/>
    <w:rsid w:val="00A24E51"/>
    <w:rsid w:val="00A87FC2"/>
    <w:rsid w:val="00AA2A3F"/>
    <w:rsid w:val="00AC132F"/>
    <w:rsid w:val="00AE17DA"/>
    <w:rsid w:val="00B46F25"/>
    <w:rsid w:val="00B80A90"/>
    <w:rsid w:val="00BC1809"/>
    <w:rsid w:val="00BF4DBE"/>
    <w:rsid w:val="00C02C6A"/>
    <w:rsid w:val="00C41E31"/>
    <w:rsid w:val="00C63FD4"/>
    <w:rsid w:val="00C8037B"/>
    <w:rsid w:val="00CB64CD"/>
    <w:rsid w:val="00CC1D80"/>
    <w:rsid w:val="00CC32F7"/>
    <w:rsid w:val="00CD42A9"/>
    <w:rsid w:val="00CE092E"/>
    <w:rsid w:val="00CE480B"/>
    <w:rsid w:val="00D11015"/>
    <w:rsid w:val="00D37F0E"/>
    <w:rsid w:val="00D440C5"/>
    <w:rsid w:val="00D86FAC"/>
    <w:rsid w:val="00DC0191"/>
    <w:rsid w:val="00E0508D"/>
    <w:rsid w:val="00EA4FFB"/>
    <w:rsid w:val="00EE4672"/>
    <w:rsid w:val="00F0278F"/>
    <w:rsid w:val="00F652BE"/>
    <w:rsid w:val="00F90B6C"/>
    <w:rsid w:val="00FA104C"/>
    <w:rsid w:val="00FA2815"/>
    <w:rsid w:val="00FC0E20"/>
    <w:rsid w:val="00FE460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7FC2"/>
    <w:rPr>
      <w:rFonts w:ascii="Times New Roman" w:eastAsia="Times New Roman" w:hAnsi="Times New Roman"/>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Gemiddeldearcering2-accent11">
    <w:name w:val="Gemiddelde arcering 2 - accent 11"/>
    <w:uiPriority w:val="99"/>
    <w:rsid w:val="00A87FC2"/>
    <w:rPr>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Ballontekst">
    <w:name w:val="Balloon Text"/>
    <w:basedOn w:val="Standaard"/>
    <w:link w:val="BallontekstChar"/>
    <w:uiPriority w:val="99"/>
    <w:semiHidden/>
    <w:rsid w:val="00A87FC2"/>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87FC2"/>
    <w:rPr>
      <w:rFonts w:ascii="Tahoma" w:hAnsi="Tahoma" w:cs="Tahoma"/>
      <w:sz w:val="16"/>
      <w:szCs w:val="16"/>
      <w:lang w:val="en-US"/>
    </w:rPr>
  </w:style>
  <w:style w:type="paragraph" w:styleId="Lijstalinea">
    <w:name w:val="List Paragraph"/>
    <w:basedOn w:val="Standaard"/>
    <w:uiPriority w:val="99"/>
    <w:qFormat/>
    <w:rsid w:val="004E3E5D"/>
    <w:pPr>
      <w:ind w:left="720"/>
      <w:contextualSpacing/>
    </w:pPr>
  </w:style>
  <w:style w:type="paragraph" w:styleId="Eindnoottekst">
    <w:name w:val="endnote text"/>
    <w:basedOn w:val="Standaard"/>
    <w:link w:val="EindnoottekstChar"/>
    <w:uiPriority w:val="99"/>
    <w:semiHidden/>
    <w:rsid w:val="00AA2A3F"/>
    <w:rPr>
      <w:sz w:val="20"/>
      <w:szCs w:val="20"/>
    </w:rPr>
  </w:style>
  <w:style w:type="character" w:customStyle="1" w:styleId="EindnoottekstChar">
    <w:name w:val="Eindnoottekst Char"/>
    <w:basedOn w:val="Standaardalinea-lettertype"/>
    <w:link w:val="Eindnoottekst"/>
    <w:uiPriority w:val="99"/>
    <w:semiHidden/>
    <w:locked/>
    <w:rsid w:val="00AA2A3F"/>
    <w:rPr>
      <w:rFonts w:ascii="Times New Roman" w:hAnsi="Times New Roman" w:cs="Times New Roman"/>
      <w:sz w:val="20"/>
      <w:szCs w:val="20"/>
      <w:lang w:val="en-US"/>
    </w:rPr>
  </w:style>
  <w:style w:type="character" w:styleId="Eindnootmarkering">
    <w:name w:val="endnote reference"/>
    <w:basedOn w:val="Standaardalinea-lettertype"/>
    <w:uiPriority w:val="99"/>
    <w:semiHidden/>
    <w:rsid w:val="00AA2A3F"/>
    <w:rPr>
      <w:rFonts w:cs="Times New Roman"/>
      <w:vertAlign w:val="superscript"/>
    </w:rPr>
  </w:style>
  <w:style w:type="paragraph" w:styleId="Geenafstand">
    <w:name w:val="No Spacing"/>
    <w:uiPriority w:val="99"/>
    <w:qFormat/>
    <w:rsid w:val="002F3614"/>
    <w:rPr>
      <w:lang w:eastAsia="en-US"/>
    </w:rPr>
  </w:style>
  <w:style w:type="table" w:customStyle="1" w:styleId="Lichtearcering1">
    <w:name w:val="Lichte arcering1"/>
    <w:uiPriority w:val="99"/>
    <w:rsid w:val="002F3614"/>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basedOn w:val="Standaardalinea-lettertype"/>
    <w:uiPriority w:val="99"/>
    <w:unhideWhenUsed/>
    <w:rsid w:val="002D15D1"/>
    <w:rPr>
      <w:color w:val="0000FF" w:themeColor="hyperlink"/>
      <w:u w:val="single"/>
    </w:rPr>
  </w:style>
  <w:style w:type="paragraph" w:styleId="Koptekst">
    <w:name w:val="header"/>
    <w:basedOn w:val="Standaard"/>
    <w:link w:val="KoptekstChar"/>
    <w:uiPriority w:val="99"/>
    <w:semiHidden/>
    <w:unhideWhenUsed/>
    <w:rsid w:val="001C0F78"/>
    <w:pPr>
      <w:tabs>
        <w:tab w:val="center" w:pos="4513"/>
        <w:tab w:val="right" w:pos="9026"/>
      </w:tabs>
    </w:pPr>
  </w:style>
  <w:style w:type="character" w:customStyle="1" w:styleId="KoptekstChar">
    <w:name w:val="Koptekst Char"/>
    <w:basedOn w:val="Standaardalinea-lettertype"/>
    <w:link w:val="Koptekst"/>
    <w:uiPriority w:val="99"/>
    <w:semiHidden/>
    <w:rsid w:val="001C0F78"/>
    <w:rPr>
      <w:rFonts w:ascii="Times New Roman" w:eastAsia="Times New Roman" w:hAnsi="Times New Roman"/>
      <w:sz w:val="24"/>
      <w:szCs w:val="24"/>
      <w:lang w:val="en-US" w:eastAsia="en-US"/>
    </w:rPr>
  </w:style>
  <w:style w:type="paragraph" w:styleId="Voettekst">
    <w:name w:val="footer"/>
    <w:basedOn w:val="Standaard"/>
    <w:link w:val="VoettekstChar"/>
    <w:uiPriority w:val="99"/>
    <w:semiHidden/>
    <w:unhideWhenUsed/>
    <w:rsid w:val="001C0F78"/>
    <w:pPr>
      <w:tabs>
        <w:tab w:val="center" w:pos="4513"/>
        <w:tab w:val="right" w:pos="9026"/>
      </w:tabs>
    </w:pPr>
  </w:style>
  <w:style w:type="character" w:customStyle="1" w:styleId="VoettekstChar">
    <w:name w:val="Voettekst Char"/>
    <w:basedOn w:val="Standaardalinea-lettertype"/>
    <w:link w:val="Voettekst"/>
    <w:uiPriority w:val="99"/>
    <w:semiHidden/>
    <w:rsid w:val="001C0F78"/>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7951817">
      <w:bodyDiv w:val="1"/>
      <w:marLeft w:val="0"/>
      <w:marRight w:val="0"/>
      <w:marTop w:val="0"/>
      <w:marBottom w:val="0"/>
      <w:divBdr>
        <w:top w:val="none" w:sz="0" w:space="0" w:color="auto"/>
        <w:left w:val="none" w:sz="0" w:space="0" w:color="auto"/>
        <w:bottom w:val="none" w:sz="0" w:space="0" w:color="auto"/>
        <w:right w:val="none" w:sz="0" w:space="0" w:color="auto"/>
      </w:divBdr>
    </w:div>
    <w:div w:id="75381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cone.n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con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ABSTRACT</vt:lpstr>
    </vt:vector>
  </TitlesOfParts>
  <Company>Hewlett-Packard</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Stephan</dc:creator>
  <cp:lastModifiedBy>jfredrix</cp:lastModifiedBy>
  <cp:revision>3</cp:revision>
  <dcterms:created xsi:type="dcterms:W3CDTF">2015-04-07T09:21:00Z</dcterms:created>
  <dcterms:modified xsi:type="dcterms:W3CDTF">2015-04-07T15:14:00Z</dcterms:modified>
</cp:coreProperties>
</file>